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0482" w14:textId="77777777"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01AAA82D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14:paraId="0B028720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Lin Li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1</w:t>
      </w:r>
      <w:r w:rsidR="00B37504" w:rsidRPr="00B37504">
        <w:rPr>
          <w:rFonts w:ascii="Palatino" w:eastAsia="Apple LiSung Light" w:hAnsi="Palatino"/>
          <w:u w:val="single"/>
          <w:vertAlign w:val="superscript"/>
          <w:lang w:eastAsia="zh-TW"/>
        </w:rPr>
        <w:t>st</w:t>
      </w:r>
      <w:r w:rsidR="00B37504">
        <w:rPr>
          <w:rFonts w:ascii="Palatino" w:eastAsia="Apple LiSung Light" w:hAnsi="Palatino"/>
          <w:u w:val="single"/>
          <w:lang w:eastAsia="zh-TW"/>
        </w:rPr>
        <w:t xml:space="preserve"> Grade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7B069E5E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14:paraId="47F67D21" w14:textId="77777777"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9A3223">
        <w:rPr>
          <w:rFonts w:ascii="Palatino" w:eastAsia="Apple LiSung Light" w:hAnsi="Palatino"/>
          <w:u w:val="single"/>
          <w:lang w:eastAsia="zh-TW"/>
        </w:rPr>
        <w:t>Numbers 1</w:t>
      </w:r>
      <w:r w:rsidR="00B37504">
        <w:rPr>
          <w:rFonts w:ascii="Palatino" w:eastAsia="Apple LiSung Light" w:hAnsi="Palatino"/>
          <w:u w:val="single"/>
          <w:lang w:eastAsia="zh-TW"/>
        </w:rPr>
        <w:t>-8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562B2D09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14:paraId="255286B3" w14:textId="77777777" w:rsidTr="00B37504">
        <w:tc>
          <w:tcPr>
            <w:tcW w:w="9216" w:type="dxa"/>
            <w:shd w:val="pct10" w:color="auto" w:fill="auto"/>
          </w:tcPr>
          <w:p w14:paraId="516B8823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14:paraId="6F65EEBF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A064EA7" w14:textId="77777777" w:rsidR="00A72703" w:rsidRDefault="002D2AFC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14:paraId="0F043D67" w14:textId="77777777" w:rsidR="00A72703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After completing the class, students will be able to </w:t>
            </w:r>
          </w:p>
          <w:p w14:paraId="30B45F00" w14:textId="77777777" w:rsidR="00B37504" w:rsidRDefault="00B37504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proofErr w:type="spellStart"/>
            <w:r>
              <w:rPr>
                <w:rFonts w:ascii="Palatino" w:eastAsia="Apple LiSung Light" w:hAnsi="Palatino"/>
                <w:sz w:val="22"/>
                <w:lang w:eastAsia="zh-TW"/>
              </w:rPr>
              <w:t>pronunciate</w:t>
            </w:r>
            <w:proofErr w:type="spellEnd"/>
            <w:r w:rsidR="00C3445B">
              <w:rPr>
                <w:rFonts w:ascii="Palatino" w:eastAsia="Apple LiSung Light" w:hAnsi="Palatino"/>
                <w:sz w:val="22"/>
                <w:lang w:eastAsia="zh-TW"/>
              </w:rPr>
              <w:t xml:space="preserve"> the numbers from 7 </w:t>
            </w:r>
            <w:r w:rsidRPr="00B37504">
              <w:rPr>
                <w:rFonts w:ascii="Palatino" w:eastAsia="Apple LiSung Light" w:hAnsi="Palatino"/>
                <w:sz w:val="22"/>
                <w:lang w:eastAsia="zh-TW"/>
              </w:rPr>
              <w:t>8 correctly in Mandarin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12AD60E3" w14:textId="77777777" w:rsidR="00B37504" w:rsidRDefault="00B37504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indicate the numbers when they’re shown by numbers</w:t>
            </w:r>
            <w:r w:rsidR="00C3445B">
              <w:rPr>
                <w:rFonts w:ascii="Palatino" w:eastAsia="Apple LiSung Light" w:hAnsi="Palatino"/>
                <w:sz w:val="22"/>
                <w:lang w:eastAsia="zh-TW"/>
              </w:rPr>
              <w:t xml:space="preserve"> from 1-8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206AAECC" w14:textId="77777777" w:rsidR="00B37504" w:rsidRPr="00B37504" w:rsidRDefault="00B37504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proofErr w:type="gramStart"/>
            <w:r>
              <w:rPr>
                <w:rFonts w:ascii="Palatino" w:eastAsia="Apple LiSung Light" w:hAnsi="Palatino"/>
                <w:sz w:val="22"/>
                <w:lang w:eastAsia="zh-TW"/>
              </w:rPr>
              <w:t>apply</w:t>
            </w:r>
            <w:proofErr w:type="gramEnd"/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the numbers in hopscotch.</w:t>
            </w:r>
          </w:p>
          <w:p w14:paraId="37C082C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6EBCE911" w14:textId="77777777" w:rsidTr="00B37504">
        <w:tc>
          <w:tcPr>
            <w:tcW w:w="9216" w:type="dxa"/>
            <w:shd w:val="pct10" w:color="auto" w:fill="auto"/>
          </w:tcPr>
          <w:p w14:paraId="34850927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14:paraId="607BFE7E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0463174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FE407C7" w14:textId="77777777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1. Students could recognize the right numbers when being asked;</w:t>
            </w:r>
          </w:p>
          <w:p w14:paraId="6A0B58EC" w14:textId="77777777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2. Students could indicate the numbers in building a hopscotch together with the teacher;</w:t>
            </w:r>
          </w:p>
          <w:p w14:paraId="505F4AD9" w14:textId="77777777" w:rsidR="00A72703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3. Students can successfully apply the numbers in hopscotch.</w:t>
            </w:r>
          </w:p>
          <w:p w14:paraId="72C73CFF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AC364E4" w14:textId="77777777" w:rsidTr="00B37504">
        <w:tc>
          <w:tcPr>
            <w:tcW w:w="9216" w:type="dxa"/>
            <w:shd w:val="pct10" w:color="auto" w:fill="auto"/>
          </w:tcPr>
          <w:p w14:paraId="0FDF0B5B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14:paraId="28B23FCD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35027FEE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14:paraId="3BF2A61A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6DB08B6" w14:textId="77777777" w:rsidR="00B37504" w:rsidRDefault="002C47DF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I. Warm up (5</w:t>
            </w:r>
            <w:r w:rsidR="00B37504"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7BEA2314" w14:textId="77777777" w:rsidR="00B37504" w:rsidRDefault="00B37504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1.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Teacher leads the students to chant together: </w:t>
            </w:r>
            <w:r>
              <w:rPr>
                <w:rFonts w:ascii="ヒラギノ明朝 Pro W3" w:eastAsia="ヒラギノ明朝 Pro W3" w:hAnsi="ヒラギノ明朝 Pro W3" w:cs="ヒラギノ明朝 Pro W3" w:hint="eastAsia"/>
                <w:sz w:val="22"/>
                <w:szCs w:val="22"/>
                <w:lang w:eastAsia="zh-CN"/>
              </w:rPr>
              <w:t>一二，坐好了！</w:t>
            </w:r>
            <w:r w:rsidR="00AF4E38"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>(One two, sit well)</w:t>
            </w:r>
          </w:p>
          <w:p w14:paraId="6050A4DC" w14:textId="77777777" w:rsidR="00B37504" w:rsidRDefault="00B37504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ヒラギノ明朝 Pro W3" w:eastAsia="ヒラギノ明朝 Pro W3" w:hAnsi="ヒラギノ明朝 Pro W3" w:cs="ヒラギノ明朝 Pro W3" w:hint="eastAsia"/>
                <w:sz w:val="22"/>
                <w:szCs w:val="22"/>
                <w:lang w:eastAsia="zh-CN"/>
              </w:rPr>
              <w:t xml:space="preserve">                                                            眼睛，看老</w:t>
            </w:r>
            <w:r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师</w:t>
            </w:r>
            <w:r>
              <w:rPr>
                <w:rFonts w:ascii="ヒラギノ明朝 Pro W3" w:eastAsia="ヒラギノ明朝 Pro W3" w:hAnsi="ヒラギノ明朝 Pro W3" w:cs="ヒラギノ明朝 Pro W3" w:hint="eastAsia"/>
                <w:sz w:val="22"/>
                <w:szCs w:val="22"/>
                <w:lang w:eastAsia="zh-CN"/>
              </w:rPr>
              <w:t>！</w:t>
            </w:r>
            <w:r w:rsidR="00AF4E38"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>(Eyes, on Teacher)</w:t>
            </w:r>
          </w:p>
          <w:p w14:paraId="10D169A9" w14:textId="77777777" w:rsidR="00B37504" w:rsidRDefault="00B37504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ヒラギノ明朝 Pro W3" w:eastAsia="ヒラギノ明朝 Pro W3" w:hAnsi="ヒラギノ明朝 Pro W3" w:cs="ヒラギノ明朝 Pro W3" w:hint="eastAsia"/>
                <w:sz w:val="22"/>
                <w:szCs w:val="22"/>
                <w:lang w:eastAsia="zh-CN"/>
              </w:rPr>
              <w:t xml:space="preserve">                                                            耳朵，听老</w:t>
            </w:r>
            <w:r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师</w:t>
            </w:r>
            <w:r>
              <w:rPr>
                <w:rFonts w:ascii="ヒラギノ明朝 Pro W3" w:eastAsia="ヒラギノ明朝 Pro W3" w:hAnsi="ヒラギノ明朝 Pro W3" w:cs="ヒラギノ明朝 Pro W3" w:hint="eastAsia"/>
                <w:sz w:val="22"/>
                <w:szCs w:val="22"/>
                <w:lang w:eastAsia="zh-CN"/>
              </w:rPr>
              <w:t>！</w:t>
            </w:r>
            <w:r w:rsidR="00AF4E38"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>(Ears, to Teacher)</w:t>
            </w:r>
          </w:p>
          <w:p w14:paraId="4CCF34C9" w14:textId="77777777" w:rsidR="002C47DF" w:rsidRDefault="002C47DF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 xml:space="preserve">       Classroom behavior assessment: T draws beads in an abacus according to individual classroom behavior on the blackboard to highlight the well-listened and well-learning students. </w:t>
            </w:r>
          </w:p>
          <w:p w14:paraId="4428EC4B" w14:textId="77777777" w:rsidR="00C3445B" w:rsidRDefault="00C3445B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 xml:space="preserve">   2. T shows the fingers in counting numbers from 1-6, and delays sometime to get the students involved to say or name the numbers together.</w:t>
            </w:r>
          </w:p>
          <w:p w14:paraId="70FDDAF3" w14:textId="77777777" w:rsidR="00B37504" w:rsidRPr="00C3445B" w:rsidRDefault="00C3445B" w:rsidP="00B37504">
            <w:pP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</w:pPr>
            <w:r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  <w:lang w:eastAsia="zh-CN"/>
              </w:rPr>
              <w:t xml:space="preserve">      </w:t>
            </w:r>
          </w:p>
          <w:p w14:paraId="55C59715" w14:textId="77777777" w:rsidR="00B37504" w:rsidRDefault="00C3445B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II. P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>resentation (1</w:t>
            </w:r>
            <w:r w:rsidR="00B37504">
              <w:rPr>
                <w:rFonts w:ascii="Palatino" w:hAnsi="Palatino" w:cs="Palatino"/>
                <w:sz w:val="22"/>
                <w:szCs w:val="22"/>
                <w:lang w:eastAsia="zh-CN"/>
              </w:rPr>
              <w:t>0’)</w:t>
            </w:r>
          </w:p>
          <w:p w14:paraId="1841F5BF" w14:textId="77777777" w:rsidR="00B37504" w:rsidRPr="00C3445B" w:rsidRDefault="00B37504" w:rsidP="00C344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C3445B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presents </w:t>
            </w:r>
            <w:r w:rsidR="00C3445B" w:rsidRPr="00C3445B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the numbers in flashcards from 1-8 and </w:t>
            </w:r>
            <w:r w:rsidRPr="00C3445B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encourages students to </w:t>
            </w:r>
            <w:r w:rsidR="00C3445B" w:rsidRPr="00C3445B">
              <w:rPr>
                <w:rFonts w:ascii="Palatino" w:hAnsi="Palatino" w:cs="Palatino"/>
                <w:sz w:val="22"/>
                <w:szCs w:val="22"/>
                <w:lang w:eastAsia="zh-CN"/>
              </w:rPr>
              <w:t>recognize the numbers, and asks the students to repeat with T together.</w:t>
            </w:r>
          </w:p>
          <w:p w14:paraId="357D5031" w14:textId="77777777" w:rsidR="00C3445B" w:rsidRDefault="00CA44EF" w:rsidP="00C3445B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shows</w:t>
            </w:r>
            <w:r w:rsidR="00C3445B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the new 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numbers 7 and 8 in </w:t>
            </w:r>
            <w:proofErr w:type="gramStart"/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>flash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cards,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 w:rsidR="00C3445B">
              <w:rPr>
                <w:rFonts w:ascii="Palatino" w:hAnsi="Palatino" w:cs="Palatino"/>
                <w:sz w:val="22"/>
                <w:szCs w:val="22"/>
                <w:lang w:eastAsia="zh-CN"/>
              </w:rPr>
              <w:t>presents the pro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nunciation and asks the students to follow and say individually. </w:t>
            </w:r>
          </w:p>
          <w:p w14:paraId="237A3D4C" w14:textId="77777777" w:rsidR="00B37504" w:rsidRPr="00CA44EF" w:rsidRDefault="00B37504" w:rsidP="00B37504">
            <w:pPr>
              <w:pStyle w:val="ListParagraph"/>
              <w:numPr>
                <w:ilvl w:val="0"/>
                <w:numId w:val="3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CA44E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shows the numbers from 1-8, encourages the students to say by themselves and </w:t>
            </w:r>
            <w:r w:rsidRPr="00CA44E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invites a student to come to the front and 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help to </w:t>
            </w:r>
            <w:r w:rsidR="00542BC3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put them in the grid to 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>build the hopscotch in the classroom.</w:t>
            </w:r>
          </w:p>
          <w:p w14:paraId="238E49C1" w14:textId="77777777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lastRenderedPageBreak/>
              <w:t xml:space="preserve">  </w:t>
            </w:r>
          </w:p>
          <w:p w14:paraId="24B02CFC" w14:textId="77777777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III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  <w:r w:rsidR="002C47DF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Practice (</w:t>
            </w:r>
            <w:r w:rsidR="00542BC3">
              <w:rPr>
                <w:rFonts w:ascii="Palatino" w:hAnsi="Palatino" w:cs="Palatino"/>
                <w:sz w:val="22"/>
                <w:szCs w:val="22"/>
                <w:lang w:eastAsia="zh-CN"/>
              </w:rPr>
              <w:t>20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15BA780C" w14:textId="77777777" w:rsidR="00B37504" w:rsidRPr="00542BC3" w:rsidRDefault="002C47DF" w:rsidP="00542BC3">
            <w:pPr>
              <w:pStyle w:val="ListParagraph"/>
              <w:numPr>
                <w:ilvl w:val="0"/>
                <w:numId w:val="4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542BC3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does an example to students to do the hopscotch following the rule: </w:t>
            </w:r>
            <w:r w:rsidR="00542BC3" w:rsidRPr="00542BC3">
              <w:rPr>
                <w:rFonts w:ascii="Palatino" w:hAnsi="Palatino" w:cs="Palatino"/>
                <w:sz w:val="22"/>
                <w:szCs w:val="22"/>
                <w:lang w:eastAsia="zh-CN"/>
              </w:rPr>
              <w:t>jump after students name the numbers.</w:t>
            </w:r>
          </w:p>
          <w:p w14:paraId="2D9C1630" w14:textId="77777777" w:rsidR="00542BC3" w:rsidRPr="00542BC3" w:rsidRDefault="00542BC3" w:rsidP="00542BC3">
            <w:pPr>
              <w:pStyle w:val="ListParagraph"/>
              <w:numPr>
                <w:ilvl w:val="0"/>
                <w:numId w:val="4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invites a student to come and leads the other students to count the numbers. T and the student do “Give me five” after finishing the hopscotch.</w:t>
            </w:r>
          </w:p>
          <w:p w14:paraId="580C0142" w14:textId="77777777" w:rsidR="00B37504" w:rsidRPr="00542BC3" w:rsidRDefault="00B37504" w:rsidP="00542BC3">
            <w:pPr>
              <w:pStyle w:val="ListParagraph"/>
              <w:numPr>
                <w:ilvl w:val="0"/>
                <w:numId w:val="4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542BC3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Switch time: </w:t>
            </w:r>
            <w:r w:rsidR="00542BC3" w:rsidRPr="00542BC3">
              <w:rPr>
                <w:rFonts w:ascii="Palatino" w:hAnsi="Palatino" w:cs="Palatino"/>
                <w:sz w:val="22"/>
                <w:szCs w:val="22"/>
                <w:lang w:eastAsia="zh-CN"/>
              </w:rPr>
              <w:t>T invites two students to come and ask one S1 to count and S2 to jump after S1’s counting. T and 2 students to do “Give me five” after finishing the hopscotch.</w:t>
            </w:r>
          </w:p>
          <w:p w14:paraId="5F99284D" w14:textId="77777777" w:rsidR="00542BC3" w:rsidRDefault="00542BC3" w:rsidP="00542BC3">
            <w:pPr>
              <w:pStyle w:val="ListParagraph"/>
              <w:numPr>
                <w:ilvl w:val="0"/>
                <w:numId w:val="4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invites more students to do hopscotch together.</w:t>
            </w:r>
          </w:p>
          <w:p w14:paraId="11ABFE52" w14:textId="77777777" w:rsidR="00542BC3" w:rsidRDefault="00542BC3" w:rsidP="00542BC3">
            <w:pPr>
              <w:pStyle w:val="ListParagraph"/>
              <w:numPr>
                <w:ilvl w:val="0"/>
                <w:numId w:val="4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collects the numbers form the grid and leads the students to count the numbers again.</w:t>
            </w:r>
          </w:p>
          <w:p w14:paraId="0E485C4B" w14:textId="77777777" w:rsidR="009A3223" w:rsidRDefault="009A3223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  <w:p w14:paraId="09096E2F" w14:textId="77777777" w:rsidR="00B37504" w:rsidRDefault="009A3223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4.Product (5</w:t>
            </w:r>
            <w:r w:rsidR="00B37504"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49D4B8BF" w14:textId="77777777" w:rsidR="009A3223" w:rsidRPr="009A3223" w:rsidRDefault="009A3223" w:rsidP="009A3223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</w:t>
            </w:r>
            <w:r w:rsidRPr="009A3223">
              <w:rPr>
                <w:rFonts w:ascii="Palatino" w:hAnsi="Palatino" w:cs="Palatino"/>
                <w:sz w:val="22"/>
                <w:szCs w:val="22"/>
                <w:lang w:eastAsia="zh-CN"/>
              </w:rPr>
              <w:t>Jeopardy (Guess and Win)</w:t>
            </w:r>
          </w:p>
          <w:p w14:paraId="00C04FA8" w14:textId="77777777" w:rsidR="009A3223" w:rsidRDefault="009A3223" w:rsidP="009A3223">
            <w:pPr>
              <w:pStyle w:val="ListParagraph"/>
              <w:ind w:left="58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shows all the numbers from 1-8 and asks the students to count.</w:t>
            </w:r>
          </w:p>
          <w:p w14:paraId="6CBC9275" w14:textId="77777777" w:rsidR="009A3223" w:rsidRDefault="009A3223" w:rsidP="009A3223">
            <w:pPr>
              <w:pStyle w:val="ListParagraph"/>
              <w:ind w:left="58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Hide the numbers and let the students guess first what the number will be.</w:t>
            </w:r>
          </w:p>
          <w:p w14:paraId="194B75B6" w14:textId="77777777" w:rsidR="009A3223" w:rsidRDefault="009A3223" w:rsidP="009A3223">
            <w:pPr>
              <w:pStyle w:val="ListParagraph"/>
              <w:ind w:left="58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gives the guessing clues by showing the numbers quickly sometimes.</w:t>
            </w:r>
          </w:p>
          <w:p w14:paraId="7EEF9903" w14:textId="77777777" w:rsidR="009A3223" w:rsidRDefault="009A3223" w:rsidP="009A3223">
            <w:pPr>
              <w:pStyle w:val="ListParagraph"/>
              <w:ind w:left="58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Students response quickly.</w:t>
            </w:r>
          </w:p>
          <w:p w14:paraId="48CDF662" w14:textId="77777777" w:rsidR="009A3223" w:rsidRPr="009A3223" w:rsidRDefault="009A3223" w:rsidP="009A3223">
            <w:pPr>
              <w:pStyle w:val="ListParagraph"/>
              <w:ind w:left="58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T gives the numbers to the student who responds correctly. </w:t>
            </w:r>
          </w:p>
          <w:p w14:paraId="2071F5D4" w14:textId="77777777" w:rsidR="00B37504" w:rsidRDefault="009A3223" w:rsidP="009A3223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T ask the students who got the number flashcards to come and line up from 1to 8.</w:t>
            </w:r>
          </w:p>
          <w:p w14:paraId="4EF092E4" w14:textId="77777777" w:rsidR="009A3223" w:rsidRDefault="009A3223" w:rsidP="009A3223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The whole class counts again.</w:t>
            </w:r>
          </w:p>
          <w:p w14:paraId="7E401C9A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962FBC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C466FCE" w14:textId="77777777" w:rsidTr="00B37504">
        <w:tc>
          <w:tcPr>
            <w:tcW w:w="9216" w:type="dxa"/>
            <w:shd w:val="pct10" w:color="auto" w:fill="auto"/>
          </w:tcPr>
          <w:p w14:paraId="594662BA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14:paraId="59301A2A" w14:textId="77777777" w:rsidTr="00B37504">
        <w:tc>
          <w:tcPr>
            <w:tcW w:w="9216" w:type="dxa"/>
          </w:tcPr>
          <w:p w14:paraId="353C23CE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F3653F3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23F815F" w14:textId="77777777" w:rsidR="00B75CC4" w:rsidRDefault="00B75CC4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1952E92A" w14:textId="77777777" w:rsidR="00A72703" w:rsidRDefault="009A322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The numbers are highly</w:t>
            </w:r>
            <w:r w:rsidR="00B75CC4">
              <w:rPr>
                <w:rFonts w:ascii="Palatino" w:eastAsia="Apple LiSung Light" w:hAnsi="Palatino"/>
                <w:sz w:val="22"/>
                <w:lang w:eastAsia="zh-TW"/>
              </w:rPr>
              <w:t xml:space="preserve"> practiced in my lesson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, including building hopscotch together with the students. The students show their interests in participating in learning numbers by shouting the numbers and their willing to participate in activities.</w:t>
            </w:r>
            <w:r w:rsidR="00B75CC4">
              <w:rPr>
                <w:rFonts w:ascii="Palatino" w:eastAsia="Apple LiSung Light" w:hAnsi="Palatino"/>
                <w:sz w:val="22"/>
                <w:lang w:eastAsia="zh-TW"/>
              </w:rPr>
              <w:t xml:space="preserve"> The students learn pretty good measured by the delay time that I gave them each time to wait for their utterance of numbers in Mandarin. And through that </w:t>
            </w:r>
            <w:r w:rsidR="00A731AB">
              <w:rPr>
                <w:rFonts w:ascii="Palatino" w:eastAsia="Apple LiSung Light" w:hAnsi="Palatino"/>
                <w:sz w:val="22"/>
                <w:lang w:eastAsia="zh-TW"/>
              </w:rPr>
              <w:t>delay time for assessment</w:t>
            </w:r>
            <w:r w:rsidR="00B75CC4">
              <w:rPr>
                <w:rFonts w:ascii="Palatino" w:eastAsia="Apple LiSung Light" w:hAnsi="Palatino"/>
                <w:sz w:val="22"/>
                <w:lang w:eastAsia="zh-TW"/>
              </w:rPr>
              <w:t xml:space="preserve">, I could </w:t>
            </w:r>
            <w:r w:rsidR="00A731AB">
              <w:rPr>
                <w:rFonts w:ascii="Palatino" w:eastAsia="Apple LiSung Light" w:hAnsi="Palatino"/>
                <w:sz w:val="22"/>
                <w:lang w:eastAsia="zh-TW"/>
              </w:rPr>
              <w:t>do adjustment to focus on specific numbers, which the students will be weak at.</w:t>
            </w:r>
          </w:p>
          <w:p w14:paraId="1CC7A6F5" w14:textId="77777777" w:rsidR="00B75CC4" w:rsidRDefault="00B75CC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25CCF69" w14:textId="77777777" w:rsidR="009A3223" w:rsidRDefault="00B75CC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This successful attempt in mandarin immersion teaching enables me to get these key points in doing my lesson planning next time:</w:t>
            </w:r>
          </w:p>
          <w:p w14:paraId="2D8DB0C8" w14:textId="77777777" w:rsidR="00B75CC4" w:rsidRPr="00B75CC4" w:rsidRDefault="00A731AB" w:rsidP="00B75CC4">
            <w:pPr>
              <w:pStyle w:val="ListParagraph"/>
              <w:numPr>
                <w:ilvl w:val="0"/>
                <w:numId w:val="6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F</w:t>
            </w:r>
            <w:r w:rsidR="00B75CC4" w:rsidRPr="00B75CC4">
              <w:rPr>
                <w:rFonts w:ascii="Palatino" w:eastAsia="Apple LiSung Light" w:hAnsi="Palatino"/>
                <w:sz w:val="22"/>
                <w:lang w:eastAsia="zh-TW"/>
              </w:rPr>
              <w:t xml:space="preserve">ocus on the teaching as well as the participation. </w:t>
            </w:r>
          </w:p>
          <w:p w14:paraId="2FC3C6FE" w14:textId="77777777" w:rsidR="00B75CC4" w:rsidRDefault="00B75CC4" w:rsidP="00B75CC4">
            <w:pPr>
              <w:pStyle w:val="ListParagraph"/>
              <w:numPr>
                <w:ilvl w:val="0"/>
                <w:numId w:val="6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Develop or adopt an activity that can fully use the target language.</w:t>
            </w:r>
          </w:p>
          <w:p w14:paraId="04B5CC0E" w14:textId="77777777" w:rsidR="00B75CC4" w:rsidRDefault="00B75CC4" w:rsidP="00B75CC4">
            <w:pPr>
              <w:pStyle w:val="ListParagraph"/>
              <w:numPr>
                <w:ilvl w:val="0"/>
                <w:numId w:val="6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Students will be involved in immersion by doing things.</w:t>
            </w:r>
          </w:p>
          <w:p w14:paraId="4D61D707" w14:textId="77777777" w:rsidR="00B75CC4" w:rsidRPr="00B75CC4" w:rsidRDefault="00B75CC4" w:rsidP="00B75CC4">
            <w:pPr>
              <w:pStyle w:val="ListParagraph"/>
              <w:numPr>
                <w:ilvl w:val="0"/>
                <w:numId w:val="6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Keep the learning atmosphere in a smooth and attractive way by easy and simplified challenge way!</w:t>
            </w:r>
          </w:p>
          <w:p w14:paraId="3D830C3F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779AB8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1B5F6F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D03FE9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C30DA3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2568A137" w14:textId="77777777" w:rsidR="005A7D6A" w:rsidRDefault="00A72703" w:rsidP="00A72703">
      <w:r>
        <w:rPr>
          <w:sz w:val="20"/>
        </w:rPr>
        <w:lastRenderedPageBreak/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311"/>
    <w:multiLevelType w:val="hybridMultilevel"/>
    <w:tmpl w:val="91B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2B29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B1D55FD"/>
    <w:multiLevelType w:val="hybridMultilevel"/>
    <w:tmpl w:val="8336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5D07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67480E58"/>
    <w:multiLevelType w:val="hybridMultilevel"/>
    <w:tmpl w:val="CB32CCF6"/>
    <w:lvl w:ilvl="0" w:tplc="9C969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F0C5F"/>
    <w:rsid w:val="002C47DF"/>
    <w:rsid w:val="002D2AFC"/>
    <w:rsid w:val="00320945"/>
    <w:rsid w:val="00542BC3"/>
    <w:rsid w:val="005A7D6A"/>
    <w:rsid w:val="007D6502"/>
    <w:rsid w:val="008907D5"/>
    <w:rsid w:val="009A3223"/>
    <w:rsid w:val="00A72703"/>
    <w:rsid w:val="00A731AB"/>
    <w:rsid w:val="00AF4E38"/>
    <w:rsid w:val="00B37504"/>
    <w:rsid w:val="00B54B51"/>
    <w:rsid w:val="00B75CC4"/>
    <w:rsid w:val="00C3445B"/>
    <w:rsid w:val="00C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2013-01-14T17:48:00Z</cp:lastPrinted>
  <dcterms:created xsi:type="dcterms:W3CDTF">2014-03-05T19:52:00Z</dcterms:created>
  <dcterms:modified xsi:type="dcterms:W3CDTF">2014-03-05T19:52:00Z</dcterms:modified>
</cp:coreProperties>
</file>