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015FE4FE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proofErr w:type="spellStart"/>
      <w:r w:rsidR="00376DAA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HsinYi</w:t>
      </w:r>
      <w:proofErr w:type="spellEnd"/>
      <w:r w:rsidR="00376DAA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 xml:space="preserve"> Huang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Grade level: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68402C">
        <w:rPr>
          <w:rFonts w:ascii="Arial" w:eastAsia="Apple LiSung Light" w:hAnsi="Arial" w:cs="Arial"/>
          <w:sz w:val="20"/>
          <w:szCs w:val="20"/>
          <w:u w:val="single"/>
          <w:lang w:eastAsia="zh-TW"/>
        </w:rPr>
        <w:t>4</w:t>
      </w:r>
      <w:r w:rsidR="00021843" w:rsidRPr="00021843">
        <w:rPr>
          <w:rFonts w:ascii="Arial" w:eastAsia="Apple LiSung Light" w:hAnsi="Arial" w:cs="Arial"/>
          <w:sz w:val="20"/>
          <w:szCs w:val="20"/>
          <w:u w:val="single"/>
          <w:vertAlign w:val="superscript"/>
          <w:lang w:eastAsia="zh-TW"/>
        </w:rPr>
        <w:t>t</w:t>
      </w:r>
      <w:r w:rsidR="00376DAA" w:rsidRPr="00021843">
        <w:rPr>
          <w:rFonts w:ascii="Arial" w:eastAsia="Apple LiSung Light" w:hAnsi="Arial" w:cs="Arial"/>
          <w:sz w:val="20"/>
          <w:szCs w:val="20"/>
          <w:u w:val="single"/>
          <w:vertAlign w:val="superscript"/>
          <w:lang w:eastAsia="zh-TW"/>
        </w:rPr>
        <w:t>h</w:t>
      </w:r>
      <w:r w:rsidR="00021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="0068402C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      </w:t>
      </w:r>
      <w:r w:rsidR="00A5688A">
        <w:rPr>
          <w:rFonts w:ascii="微軟正黑體" w:eastAsia="微軟正黑體" w:hAnsi="微軟正黑體" w:cs="微軟正黑體" w:hint="eastAsia"/>
          <w:sz w:val="20"/>
          <w:szCs w:val="20"/>
          <w:u w:val="single"/>
          <w:lang w:eastAsia="zh-TW"/>
        </w:rPr>
        <w:t>N</w:t>
      </w:r>
      <w:r w:rsidR="00A5688A">
        <w:rPr>
          <w:rFonts w:ascii="微軟正黑體" w:eastAsia="微軟正黑體" w:hAnsi="微軟正黑體" w:cs="微軟正黑體"/>
          <w:sz w:val="20"/>
          <w:szCs w:val="20"/>
          <w:u w:val="single"/>
          <w:lang w:eastAsia="zh-TW"/>
        </w:rPr>
        <w:t>ovice</w:t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67CE4FEE" w14:textId="77777777" w:rsidR="00834854" w:rsidRPr="0068402C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0DD54F8" w14:textId="3738FE4C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="0068402C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My Birthday</w:t>
      </w:r>
      <w:r w:rsidR="0092369D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and age</w:t>
      </w:r>
      <w:r w:rsidR="001572C0">
        <w:rPr>
          <w:rFonts w:ascii="Arial" w:eastAsia="Apple LiSung Light" w:hAnsi="Arial" w:cs="Arial" w:hint="eastAsia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="001572C0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  <w:r w:rsidRPr="00457843">
        <w:rPr>
          <w:rFonts w:ascii="Arial" w:eastAsia="Apple LiSung Light" w:hAnsi="Arial" w:cs="Arial"/>
          <w:sz w:val="20"/>
          <w:szCs w:val="20"/>
          <w:u w:val="single"/>
          <w:lang w:eastAsia="zh-TW"/>
        </w:rPr>
        <w:tab/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goals</w:t>
            </w:r>
          </w:p>
          <w:p w14:paraId="0F535475" w14:textId="10F11C9F" w:rsidR="006A7F15" w:rsidRPr="00352C33" w:rsidRDefault="00F8370A" w:rsidP="006A7F15">
            <w:pPr>
              <w:pStyle w:val="a4"/>
              <w:numPr>
                <w:ilvl w:val="0"/>
                <w:numId w:val="1"/>
              </w:numP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Count to one hundred.</w:t>
            </w: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1572C0" w:rsidRDefault="00834854" w:rsidP="005A0C39">
            <w:pPr>
              <w:rPr>
                <w:rFonts w:ascii="Arial" w:hAnsi="Arial" w:cs="Arial"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Essential Questions</w:t>
            </w:r>
            <w:r w:rsidRPr="001572C0">
              <w:rPr>
                <w:rFonts w:ascii="Arial" w:hAnsi="Arial" w:cs="Arial"/>
                <w:szCs w:val="20"/>
              </w:rPr>
              <w:t xml:space="preserve"> </w:t>
            </w:r>
          </w:p>
          <w:p w14:paraId="4A4D738F" w14:textId="7F263929" w:rsidR="00352C33" w:rsidRDefault="00352C33" w:rsidP="00352C33">
            <w:pPr>
              <w:rPr>
                <w:rFonts w:ascii="Arial" w:hAnsi="Arial" w:cs="Arial"/>
                <w:i/>
                <w:szCs w:val="20"/>
              </w:rPr>
            </w:pPr>
            <w:r w:rsidRPr="00352C33">
              <w:rPr>
                <w:rFonts w:ascii="Arial" w:hAnsi="Arial" w:cs="Arial"/>
                <w:i/>
                <w:szCs w:val="20"/>
              </w:rPr>
              <w:t>-How</w:t>
            </w:r>
            <w:r w:rsidR="0068402C">
              <w:rPr>
                <w:rFonts w:ascii="Arial" w:hAnsi="Arial" w:cs="Arial"/>
                <w:i/>
                <w:szCs w:val="20"/>
              </w:rPr>
              <w:t xml:space="preserve"> </w:t>
            </w:r>
            <w:r w:rsidR="00F8370A">
              <w:rPr>
                <w:rFonts w:ascii="Arial" w:hAnsi="Arial" w:cs="Arial"/>
                <w:i/>
                <w:szCs w:val="20"/>
              </w:rPr>
              <w:t>to say numbers in Chinese.</w:t>
            </w:r>
          </w:p>
          <w:p w14:paraId="26442560" w14:textId="70DD14CF" w:rsidR="0068402C" w:rsidRPr="00352C33" w:rsidRDefault="0068402C" w:rsidP="00352C33">
            <w:pPr>
              <w:rPr>
                <w:rFonts w:ascii="Arial" w:hAnsi="Arial" w:cs="Arial" w:hint="eastAsia"/>
                <w:i/>
                <w:szCs w:val="20"/>
                <w:lang w:eastAsia="zh-TW"/>
              </w:rPr>
            </w:pPr>
            <w:r>
              <w:rPr>
                <w:rFonts w:ascii="Arial" w:hAnsi="Arial" w:cs="Arial"/>
                <w:i/>
                <w:szCs w:val="20"/>
              </w:rPr>
              <w:t>-</w:t>
            </w:r>
            <w:r w:rsidR="00F8370A">
              <w:rPr>
                <w:rFonts w:ascii="Arial" w:hAnsi="Arial" w:cs="Arial"/>
                <w:i/>
                <w:szCs w:val="20"/>
              </w:rPr>
              <w:t>How to count to one hundred in Chinese.</w:t>
            </w:r>
          </w:p>
          <w:p w14:paraId="12C15113" w14:textId="55F83CF9" w:rsidR="00834854" w:rsidRPr="00352C33" w:rsidRDefault="00834854" w:rsidP="00352C33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1572C0" w:rsidRDefault="00834854" w:rsidP="005A0C39">
            <w:pPr>
              <w:rPr>
                <w:rFonts w:ascii="Arial" w:hAnsi="Arial" w:cs="Arial"/>
                <w:b/>
                <w:bCs/>
                <w:szCs w:val="20"/>
              </w:rPr>
            </w:pPr>
            <w:r w:rsidRPr="001572C0">
              <w:rPr>
                <w:rFonts w:ascii="Arial" w:hAnsi="Arial" w:cs="Arial"/>
                <w:b/>
                <w:bCs/>
                <w:szCs w:val="20"/>
              </w:rPr>
              <w:t>Lesson Objectives</w:t>
            </w:r>
          </w:p>
          <w:p w14:paraId="7BA01DB5" w14:textId="0DB1E7C5" w:rsidR="00834854" w:rsidRPr="001572C0" w:rsidRDefault="00AE35B5" w:rsidP="00352C33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-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>Ss can s</w:t>
            </w:r>
            <w:r w:rsidR="00352C33">
              <w:rPr>
                <w:rFonts w:ascii="Arial" w:eastAsia="Apple LiSung Light" w:hAnsi="Arial" w:cs="Arial"/>
                <w:i/>
                <w:szCs w:val="20"/>
                <w:lang w:eastAsia="zh-TW"/>
              </w:rPr>
              <w:t>peak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>, listen</w:t>
            </w:r>
            <w:r w:rsidR="00352C33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and write </w:t>
            </w:r>
            <w:r w:rsidR="00352C33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the </w:t>
            </w:r>
            <w:r w:rsidR="00F8370A">
              <w:rPr>
                <w:rFonts w:ascii="Arial" w:eastAsia="Apple LiSung Light" w:hAnsi="Arial" w:cs="Arial"/>
                <w:i/>
                <w:szCs w:val="20"/>
                <w:lang w:eastAsia="zh-TW"/>
              </w:rPr>
              <w:t>number</w:t>
            </w:r>
            <w:r w:rsidR="0068402C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F8370A">
              <w:rPr>
                <w:rFonts w:ascii="Arial" w:eastAsia="Apple LiSung Light" w:hAnsi="Arial" w:cs="Arial"/>
                <w:i/>
                <w:szCs w:val="20"/>
                <w:lang w:eastAsia="zh-TW"/>
              </w:rPr>
              <w:t>in Chinese.</w:t>
            </w: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34C743EE" w:rsidR="00F8370A" w:rsidRPr="001572C0" w:rsidRDefault="00834854" w:rsidP="00F8370A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Performance task</w:t>
            </w: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 w:rsidR="009812CA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SS will</w:t>
            </w:r>
            <w:r w:rsidR="006A7F15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  <w:r w:rsidR="00F8370A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count to one hundred in </w:t>
            </w:r>
            <w:r w:rsidR="00F8370A"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C</w:t>
            </w:r>
            <w:r w:rsidR="00F8370A">
              <w:rPr>
                <w:rFonts w:ascii="Arial" w:eastAsia="Apple LiSung Light" w:hAnsi="Arial" w:cs="Arial"/>
                <w:i/>
                <w:szCs w:val="20"/>
                <w:lang w:eastAsia="zh-TW"/>
              </w:rPr>
              <w:t>hinese.</w:t>
            </w:r>
          </w:p>
          <w:p w14:paraId="12876CC5" w14:textId="43BC4C8A" w:rsidR="00834854" w:rsidRPr="00BA292C" w:rsidRDefault="00F8370A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Cs w:val="20"/>
                <w:lang w:eastAsia="zh-TW"/>
              </w:rPr>
              <w:t>P</w:t>
            </w:r>
            <w:r w:rsidR="00834854"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erformance criteria</w:t>
            </w:r>
            <w:r w:rsidR="00834854"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— 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>Sing the song. Continue to count after any assigned number.</w:t>
            </w: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1572C0" w:rsidRDefault="00834854" w:rsidP="005A0C39">
            <w:pPr>
              <w:rPr>
                <w:rFonts w:ascii="Arial" w:eastAsia="Apple LiSung Light" w:hAnsi="Arial" w:cs="Arial"/>
                <w:b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Materials needed</w:t>
            </w:r>
          </w:p>
          <w:p w14:paraId="38E4D048" w14:textId="4C98D2E0" w:rsidR="008E6A95" w:rsidRPr="00F8370A" w:rsidRDefault="009812CA" w:rsidP="00F8370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 w:hint="eastAsia"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-Learning </w:t>
            </w:r>
            <w:proofErr w:type="gramStart"/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>packet</w:t>
            </w:r>
            <w:proofErr w:type="gramEnd"/>
            <w:r w:rsidRPr="001572C0">
              <w:rPr>
                <w:rFonts w:ascii="Arial" w:eastAsia="Apple LiSung Light" w:hAnsi="Arial" w:cs="Arial"/>
                <w:szCs w:val="20"/>
                <w:lang w:eastAsia="zh-TW"/>
              </w:rPr>
              <w:t xml:space="preserve"> </w:t>
            </w:r>
            <w:r w:rsidR="0068402C">
              <w:rPr>
                <w:rFonts w:ascii="Arial" w:eastAsia="Apple LiSung Light" w:hAnsi="Arial" w:cs="Arial"/>
                <w:szCs w:val="20"/>
                <w:lang w:eastAsia="zh-TW"/>
              </w:rPr>
              <w:t>A</w:t>
            </w:r>
          </w:p>
          <w:p w14:paraId="3382DDBD" w14:textId="538B4E1C" w:rsidR="00F8370A" w:rsidRPr="00F8370A" w:rsidRDefault="00F8370A" w:rsidP="00F8370A">
            <w:pPr>
              <w:pStyle w:val="a4"/>
              <w:numPr>
                <w:ilvl w:val="0"/>
                <w:numId w:val="2"/>
              </w:numPr>
              <w:rPr>
                <w:rFonts w:ascii="Arial" w:eastAsia="Apple LiSung Light" w:hAnsi="Arial" w:cs="Arial"/>
                <w:szCs w:val="20"/>
                <w:lang w:eastAsia="zh-TW"/>
              </w:rPr>
            </w:pPr>
            <w:r w:rsidRPr="00F8370A">
              <w:rPr>
                <w:rFonts w:hint="eastAsia"/>
                <w:color w:val="000000"/>
                <w:sz w:val="22"/>
                <w:szCs w:val="22"/>
              </w:rPr>
              <w:t xml:space="preserve">Chinese Numbers 1 to 100 Song For Kids | 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>中文數字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 xml:space="preserve"> 1 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>到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 xml:space="preserve"> 100 | 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>歌為孩子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 xml:space="preserve"> Mandarin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Pr="00E6649D">
                <w:rPr>
                  <w:rStyle w:val="a3"/>
                  <w:sz w:val="22"/>
                  <w:szCs w:val="22"/>
                </w:rPr>
                <w:t>https://www.youtube.com/watch?v=1RNFE4690fk&amp;t=4s</w:t>
              </w:r>
            </w:hyperlink>
          </w:p>
          <w:p w14:paraId="09A1ADB2" w14:textId="2D410C55" w:rsidR="00F8370A" w:rsidRPr="00F8370A" w:rsidRDefault="00F8370A" w:rsidP="00F8370A">
            <w:pPr>
              <w:pStyle w:val="a4"/>
              <w:rPr>
                <w:rFonts w:ascii="Arial" w:eastAsia="Apple LiSung Light" w:hAnsi="Arial" w:cs="Arial" w:hint="eastAsia"/>
                <w:szCs w:val="20"/>
                <w:lang w:eastAsia="zh-TW"/>
              </w:rPr>
            </w:pPr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b/>
                <w:szCs w:val="20"/>
                <w:lang w:eastAsia="zh-TW"/>
              </w:rPr>
              <w:t>Learning activities</w:t>
            </w:r>
          </w:p>
          <w:p w14:paraId="3EE5FE24" w14:textId="77777777" w:rsidR="00834854" w:rsidRPr="001572C0" w:rsidRDefault="00834854" w:rsidP="005A0C39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14:paraId="1853794E" w14:textId="1CB5EEAE" w:rsidR="00834854" w:rsidRPr="001572C0" w:rsidRDefault="00256436" w:rsidP="00256436">
            <w:pPr>
              <w:pStyle w:val="a4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Warm up:</w:t>
            </w:r>
          </w:p>
          <w:p w14:paraId="09F2C99D" w14:textId="77777777" w:rsidR="00F8370A" w:rsidRDefault="004728A1" w:rsidP="008E6A95">
            <w:pPr>
              <w:rPr>
                <w:rFonts w:eastAsia="Times New Roman"/>
              </w:rPr>
            </w:pPr>
            <w:r w:rsidRPr="001572C0">
              <w:rPr>
                <w:rFonts w:eastAsia="Times New Roman"/>
              </w:rPr>
              <w:t>-Sing a song</w:t>
            </w:r>
            <w:r w:rsidR="00256436" w:rsidRPr="001572C0">
              <w:rPr>
                <w:rFonts w:eastAsia="Times New Roman"/>
              </w:rPr>
              <w:t xml:space="preserve">: </w:t>
            </w:r>
          </w:p>
          <w:p w14:paraId="5FECB39A" w14:textId="6AFE6B66" w:rsidR="00F8370A" w:rsidRDefault="00F8370A" w:rsidP="008E6A95">
            <w:pPr>
              <w:rPr>
                <w:color w:val="000000"/>
                <w:sz w:val="22"/>
                <w:szCs w:val="22"/>
              </w:rPr>
            </w:pPr>
            <w:r w:rsidRPr="00F8370A">
              <w:rPr>
                <w:rFonts w:hint="eastAsia"/>
                <w:color w:val="000000"/>
                <w:sz w:val="22"/>
                <w:szCs w:val="22"/>
              </w:rPr>
              <w:t xml:space="preserve">Chinese Numbers 1 to 100 Song For Kids | 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>中文數字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 xml:space="preserve"> 1 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>到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 xml:space="preserve"> 100 | 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>歌為孩子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8370A">
              <w:rPr>
                <w:rFonts w:hint="eastAsia"/>
                <w:color w:val="000000"/>
                <w:sz w:val="22"/>
                <w:szCs w:val="22"/>
              </w:rPr>
              <w:t xml:space="preserve"> Mandarin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E6649D">
                <w:rPr>
                  <w:rStyle w:val="a3"/>
                  <w:sz w:val="22"/>
                  <w:szCs w:val="22"/>
                </w:rPr>
                <w:t>https://www.youtube.com/watch?v=1RNFE4690fk&amp;t=4s</w:t>
              </w:r>
            </w:hyperlink>
          </w:p>
          <w:p w14:paraId="1E7DB66A" w14:textId="77777777" w:rsidR="00F8370A" w:rsidRDefault="00F8370A" w:rsidP="008E6A95">
            <w:pPr>
              <w:rPr>
                <w:rFonts w:eastAsia="Times New Roman" w:hint="eastAsia"/>
              </w:rPr>
            </w:pPr>
          </w:p>
          <w:p w14:paraId="40C43F22" w14:textId="422D5398" w:rsidR="004728A1" w:rsidRPr="00F8370A" w:rsidRDefault="004728A1" w:rsidP="008E6A95">
            <w:pPr>
              <w:rPr>
                <w:rFonts w:eastAsia="Times New Roman"/>
              </w:rPr>
            </w:pPr>
            <w:r w:rsidRPr="001572C0">
              <w:rPr>
                <w:rFonts w:eastAsia="Times New Roman"/>
              </w:rPr>
              <w:t xml:space="preserve">-Teacher will guide students to practice </w:t>
            </w:r>
            <w:r w:rsidR="00256436" w:rsidRPr="001572C0">
              <w:rPr>
                <w:rFonts w:eastAsia="Times New Roman"/>
              </w:rPr>
              <w:t>the song lyrics</w:t>
            </w:r>
            <w:r w:rsidRPr="001572C0">
              <w:rPr>
                <w:rFonts w:eastAsia="Times New Roman"/>
              </w:rPr>
              <w:t xml:space="preserve"> </w:t>
            </w:r>
            <w:r w:rsidR="00340B9C">
              <w:rPr>
                <w:rFonts w:eastAsia="Times New Roman"/>
              </w:rPr>
              <w:t xml:space="preserve">with </w:t>
            </w:r>
            <w:r w:rsidRPr="001572C0">
              <w:rPr>
                <w:rFonts w:eastAsia="Times New Roman"/>
              </w:rPr>
              <w:t xml:space="preserve">each other. </w:t>
            </w:r>
          </w:p>
          <w:p w14:paraId="55617116" w14:textId="10169E30" w:rsidR="00834854" w:rsidRPr="001572C0" w:rsidRDefault="004728A1" w:rsidP="004728A1">
            <w:p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eastAsia="Times New Roman"/>
              </w:rPr>
              <w:t>-Teacher will guide students t</w:t>
            </w:r>
            <w:r w:rsidR="00256436" w:rsidRPr="001572C0">
              <w:rPr>
                <w:rFonts w:eastAsia="Times New Roman"/>
              </w:rPr>
              <w:t>o review the Chinese characters</w:t>
            </w:r>
            <w:r w:rsidR="00340B9C">
              <w:rPr>
                <w:rFonts w:asciiTheme="minorEastAsia" w:eastAsiaTheme="minorEastAsia" w:hAnsiTheme="minorEastAsia" w:hint="eastAsia"/>
              </w:rPr>
              <w:t>.</w:t>
            </w:r>
          </w:p>
          <w:p w14:paraId="163C4B56" w14:textId="3CFFD531" w:rsidR="00834854" w:rsidRPr="001572C0" w:rsidRDefault="00256436" w:rsidP="00256436">
            <w:pPr>
              <w:pStyle w:val="a4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 w:rsidRPr="001572C0">
              <w:rPr>
                <w:rFonts w:ascii="Arial" w:eastAsia="Apple LiSung Light" w:hAnsi="Arial" w:cs="Arial"/>
                <w:i/>
                <w:szCs w:val="20"/>
                <w:lang w:eastAsia="zh-TW"/>
              </w:rPr>
              <w:t>Activity:</w:t>
            </w:r>
          </w:p>
          <w:p w14:paraId="76255645" w14:textId="21B88C14" w:rsidR="00F8370A" w:rsidRDefault="004728A1" w:rsidP="008E6A95">
            <w:pPr>
              <w:rPr>
                <w:rFonts w:eastAsia="Times New Roman"/>
                <w:lang w:eastAsia="zh-TW"/>
              </w:rPr>
            </w:pPr>
            <w:r w:rsidRPr="001572C0">
              <w:rPr>
                <w:rFonts w:eastAsia="Times New Roman"/>
              </w:rPr>
              <w:lastRenderedPageBreak/>
              <w:t>-</w:t>
            </w:r>
            <w:r w:rsidR="00340B9C">
              <w:t xml:space="preserve"> </w:t>
            </w:r>
            <w:r w:rsidR="00F8370A">
              <w:t>Number chain game</w:t>
            </w:r>
            <w:r w:rsidR="008E6A95">
              <w:rPr>
                <w:rFonts w:eastAsia="Times New Roman"/>
              </w:rPr>
              <w:t>:</w:t>
            </w:r>
            <w:r w:rsidR="00F8370A">
              <w:rPr>
                <w:rFonts w:eastAsia="Times New Roman"/>
              </w:rPr>
              <w:t xml:space="preserve"> the teacher will star with a random number, and let students to continue.</w:t>
            </w:r>
            <w:r w:rsidR="00F8370A">
              <w:rPr>
                <w:rFonts w:eastAsia="Times New Roman" w:hint="eastAsia"/>
              </w:rPr>
              <w:t xml:space="preserve"> </w:t>
            </w:r>
            <w:r w:rsidR="00F8370A">
              <w:rPr>
                <w:rFonts w:eastAsia="Times New Roman"/>
              </w:rPr>
              <w:t>It can go randomly, like the students who said the number can pick the next students.</w:t>
            </w:r>
            <w:r w:rsidR="00F8370A">
              <w:rPr>
                <w:rFonts w:eastAsia="Times New Roman" w:hint="eastAsia"/>
                <w:lang w:eastAsia="zh-TW"/>
              </w:rPr>
              <w:t xml:space="preserve"> </w:t>
            </w:r>
            <w:r w:rsidR="00F8370A">
              <w:rPr>
                <w:rFonts w:eastAsia="Times New Roman"/>
                <w:lang w:eastAsia="zh-TW"/>
              </w:rPr>
              <w:t xml:space="preserve">Or, it can </w:t>
            </w:r>
            <w:r w:rsidR="00A62325">
              <w:rPr>
                <w:rFonts w:eastAsia="Times New Roman"/>
                <w:lang w:eastAsia="zh-TW"/>
              </w:rPr>
              <w:t>go by sequence of the seat. The teacher can do both, let the Ss have more chance to practice.</w:t>
            </w:r>
          </w:p>
          <w:p w14:paraId="2ADAAF2C" w14:textId="4F112DEC" w:rsidR="00EB799A" w:rsidRPr="00340B9C" w:rsidRDefault="00A62325" w:rsidP="00340B9C">
            <w:pPr>
              <w:pStyle w:val="a4"/>
              <w:numPr>
                <w:ilvl w:val="0"/>
                <w:numId w:val="3"/>
              </w:numPr>
              <w:rPr>
                <w:rFonts w:ascii="Arial" w:eastAsia="Apple LiSung Light" w:hAnsi="Arial" w:cs="Arial"/>
                <w:i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Complete the worksheet in the Learning Packet </w:t>
            </w:r>
            <w:r>
              <w:rPr>
                <w:rFonts w:ascii="Arial" w:eastAsia="Apple LiSung Light" w:hAnsi="Arial" w:cs="Arial" w:hint="eastAsia"/>
                <w:i/>
                <w:szCs w:val="20"/>
                <w:lang w:eastAsia="zh-TW"/>
              </w:rPr>
              <w:t>A</w:t>
            </w:r>
            <w:r>
              <w:rPr>
                <w:rFonts w:ascii="Arial" w:eastAsia="Apple LiSung Light" w:hAnsi="Arial" w:cs="Arial"/>
                <w:i/>
                <w:szCs w:val="20"/>
                <w:lang w:eastAsia="zh-TW"/>
              </w:rPr>
              <w:t xml:space="preserve"> </w:t>
            </w:r>
          </w:p>
          <w:p w14:paraId="515ACE23" w14:textId="5DD5EFB4" w:rsidR="00834854" w:rsidRPr="00457C3D" w:rsidRDefault="00FF54C4" w:rsidP="00A62325">
            <w:pPr>
              <w:rPr>
                <w:rFonts w:ascii="Arial" w:eastAsia="Apple LiSung Light" w:hAnsi="Arial" w:cs="Arial"/>
                <w:iCs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szCs w:val="20"/>
                <w:lang w:eastAsia="zh-TW"/>
              </w:rPr>
              <w:t>-</w:t>
            </w:r>
            <w:r w:rsidR="00A62325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There is a fire man picture. Every different part has different number on it. </w:t>
            </w:r>
            <w:r w:rsidR="00A62325">
              <w:rPr>
                <w:rFonts w:ascii="Arial" w:eastAsia="Apple LiSung Light" w:hAnsi="Arial" w:cs="Arial" w:hint="eastAsia"/>
                <w:iCs/>
                <w:szCs w:val="20"/>
                <w:lang w:eastAsia="zh-TW"/>
              </w:rPr>
              <w:t>T</w:t>
            </w:r>
            <w:r w:rsidR="00A62325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he students have to pick the color according to the number. For example, 1 means blue, 2 means red, etc. Once the students understand </w:t>
            </w:r>
            <w:proofErr w:type="gramStart"/>
            <w:r w:rsidR="00A62325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the </w:t>
            </w:r>
            <w:r w:rsidR="00457C3D">
              <w:rPr>
                <w:rFonts w:ascii="Arial" w:eastAsia="Apple LiSung Light" w:hAnsi="Arial" w:cs="Arial" w:hint="eastAsia"/>
                <w:iCs/>
                <w:szCs w:val="20"/>
                <w:lang w:eastAsia="zh-TW"/>
              </w:rPr>
              <w:t xml:space="preserve"> </w:t>
            </w:r>
            <w:r w:rsidR="00A62325">
              <w:rPr>
                <w:rFonts w:ascii="Arial" w:eastAsia="Apple LiSung Light" w:hAnsi="Arial" w:cs="Arial"/>
                <w:iCs/>
                <w:szCs w:val="20"/>
                <w:lang w:eastAsia="zh-TW"/>
              </w:rPr>
              <w:t>right</w:t>
            </w:r>
            <w:proofErr w:type="gramEnd"/>
            <w:r w:rsidR="00A62325">
              <w:rPr>
                <w:rFonts w:ascii="Arial" w:eastAsia="Apple LiSung Light" w:hAnsi="Arial" w:cs="Arial"/>
                <w:iCs/>
                <w:szCs w:val="20"/>
                <w:lang w:eastAsia="zh-TW"/>
              </w:rPr>
              <w:t xml:space="preserve"> number and chose the  wright color, then they will get a correct painting.</w:t>
            </w: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7F1" w14:textId="5C869AA1" w:rsidR="00834854" w:rsidRPr="003D7442" w:rsidRDefault="00C37E11" w:rsidP="005A0C39">
            <w:pPr>
              <w:rPr>
                <w:rFonts w:ascii="Arial" w:eastAsia="Apple LiSung Light" w:hAnsi="Arial" w:cs="Arial" w:hint="eastAsia"/>
                <w:iCs/>
                <w:lang w:eastAsia="zh-TW"/>
              </w:rPr>
            </w:pPr>
            <w:r>
              <w:rPr>
                <w:rFonts w:ascii="Arial" w:eastAsia="Apple LiSung Light" w:hAnsi="Arial" w:cs="Arial"/>
                <w:iCs/>
                <w:lang w:eastAsia="zh-TW"/>
              </w:rPr>
              <w:t xml:space="preserve">In </w:t>
            </w:r>
            <w:r w:rsidRPr="00C37E11">
              <w:rPr>
                <w:rFonts w:ascii="Arial" w:eastAsia="Apple LiSung Light" w:hAnsi="Arial" w:cs="Arial"/>
                <w:iCs/>
                <w:lang w:eastAsia="zh-TW"/>
              </w:rPr>
              <w:t>English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>, e</w:t>
            </w:r>
            <w:r w:rsidRPr="00C37E11">
              <w:rPr>
                <w:rFonts w:ascii="Arial" w:eastAsia="Apple LiSung Light" w:hAnsi="Arial" w:cs="Arial" w:hint="eastAsia"/>
                <w:iCs/>
                <w:lang w:eastAsia="zh-TW"/>
              </w:rPr>
              <w:t>v</w:t>
            </w:r>
            <w:r w:rsidRPr="00C37E11">
              <w:rPr>
                <w:rFonts w:ascii="Arial" w:eastAsia="Apple LiSung Light" w:hAnsi="Arial" w:cs="Arial"/>
                <w:iCs/>
                <w:lang w:eastAsia="zh-TW"/>
              </w:rPr>
              <w:t xml:space="preserve">ery number has a different character. Chinese numbers are 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 xml:space="preserve">different. </w:t>
            </w:r>
            <w:r w:rsidRPr="00C37E11">
              <w:rPr>
                <w:rFonts w:ascii="Arial" w:eastAsia="Apple LiSung Light" w:hAnsi="Arial" w:cs="Arial"/>
                <w:iCs/>
                <w:lang w:eastAsia="zh-TW"/>
              </w:rPr>
              <w:t xml:space="preserve">In Chinese, as long as you learn one to 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>ten(</w:t>
            </w:r>
            <w:r>
              <w:rPr>
                <w:rFonts w:ascii="Arial" w:eastAsia="Apple LiSung Light" w:hAnsi="Arial" w:cs="Arial" w:hint="eastAsia"/>
                <w:iCs/>
                <w:lang w:eastAsia="zh-TW"/>
              </w:rPr>
              <w:t>ㄧ、二、三、四、五、六、七、八、九、十</w:t>
            </w:r>
            <w:r>
              <w:rPr>
                <w:rFonts w:ascii="Arial" w:eastAsia="Apple LiSung Light" w:hAnsi="Arial" w:cs="Arial" w:hint="eastAsia"/>
                <w:iCs/>
                <w:lang w:eastAsia="zh-TW"/>
              </w:rPr>
              <w:t>)</w:t>
            </w:r>
            <w:r w:rsidRPr="00C37E11">
              <w:rPr>
                <w:rFonts w:ascii="Arial" w:eastAsia="Apple LiSung Light" w:hAnsi="Arial" w:cs="Arial"/>
                <w:iCs/>
                <w:lang w:eastAsia="zh-TW"/>
              </w:rPr>
              <w:t>,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 xml:space="preserve"> then</w:t>
            </w:r>
            <w:r w:rsidRPr="00C37E11">
              <w:rPr>
                <w:rFonts w:ascii="Arial" w:eastAsia="Apple LiSung Light" w:hAnsi="Arial" w:cs="Arial" w:hint="eastAsia"/>
                <w:iCs/>
                <w:lang w:eastAsia="zh-TW"/>
              </w:rPr>
              <w:t xml:space="preserve"> </w:t>
            </w:r>
            <w:r w:rsidRPr="00C37E11">
              <w:rPr>
                <w:rFonts w:ascii="Arial" w:eastAsia="Apple LiSung Light" w:hAnsi="Arial" w:cs="Arial"/>
                <w:iCs/>
                <w:lang w:eastAsia="zh-TW"/>
              </w:rPr>
              <w:t>you can count to one hundred through different permutations and combinations.</w:t>
            </w:r>
          </w:p>
          <w:p w14:paraId="41B1E5BC" w14:textId="79CC086E" w:rsidR="00834854" w:rsidRPr="00C37E11" w:rsidRDefault="00C37E11" w:rsidP="00C37E11">
            <w:pPr>
              <w:rPr>
                <w:rFonts w:ascii="Arial" w:eastAsia="Apple LiSung Light" w:hAnsi="Arial" w:cs="Arial"/>
                <w:iCs/>
                <w:lang w:eastAsia="zh-TW"/>
              </w:rPr>
            </w:pPr>
            <w:r w:rsidRPr="00C37E11">
              <w:rPr>
                <w:rFonts w:ascii="Arial" w:eastAsia="Apple LiSung Light" w:hAnsi="Arial" w:cs="Arial"/>
                <w:iCs/>
                <w:lang w:eastAsia="zh-TW"/>
              </w:rPr>
              <w:t>After the students have the foundation of one to ten, I play this number song for counting to one hundred for the students to listen to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>.</w:t>
            </w:r>
            <w:r>
              <w:rPr>
                <w:rFonts w:ascii="Arial" w:eastAsia="Apple LiSung Light" w:hAnsi="Arial" w:cs="Arial" w:hint="eastAsia"/>
                <w:iCs/>
                <w:lang w:eastAsia="zh-TW"/>
              </w:rPr>
              <w:t xml:space="preserve"> </w:t>
            </w:r>
            <w:r w:rsidRPr="00C37E11">
              <w:rPr>
                <w:rFonts w:ascii="Arial" w:eastAsia="Apple LiSung Light" w:hAnsi="Arial" w:cs="Arial"/>
                <w:iCs/>
                <w:lang w:eastAsia="zh-TW"/>
              </w:rPr>
              <w:t>I found that the students' learning ability is very fast, and they immediately discover the rules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 xml:space="preserve"> of the numbers.</w:t>
            </w:r>
            <w:r>
              <w:rPr>
                <w:rFonts w:ascii="Arial" w:eastAsia="Apple LiSung Light" w:hAnsi="Arial" w:cs="Arial" w:hint="eastAsia"/>
                <w:iCs/>
                <w:lang w:eastAsia="zh-TW"/>
              </w:rPr>
              <w:t xml:space="preserve"> </w:t>
            </w:r>
            <w:r w:rsidRPr="00C37E11">
              <w:rPr>
                <w:rFonts w:ascii="Arial" w:eastAsia="Apple LiSung Light" w:hAnsi="Arial" w:cs="Arial"/>
                <w:iCs/>
                <w:lang w:eastAsia="zh-TW"/>
              </w:rPr>
              <w:t>In addition, the melody of this song is very nice, and the students like it very much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 xml:space="preserve">. </w:t>
            </w:r>
            <w:proofErr w:type="gramStart"/>
            <w:r>
              <w:rPr>
                <w:rFonts w:ascii="Arial" w:eastAsia="Apple LiSung Light" w:hAnsi="Arial" w:cs="Arial"/>
                <w:iCs/>
                <w:lang w:eastAsia="zh-TW"/>
              </w:rPr>
              <w:t>S</w:t>
            </w:r>
            <w:r w:rsidRPr="00C37E11">
              <w:rPr>
                <w:rFonts w:ascii="Arial" w:eastAsia="Apple LiSung Light" w:hAnsi="Arial" w:cs="Arial"/>
                <w:iCs/>
                <w:lang w:eastAsia="zh-TW"/>
              </w:rPr>
              <w:t>o</w:t>
            </w:r>
            <w:proofErr w:type="gramEnd"/>
            <w:r w:rsidRPr="00C37E11">
              <w:rPr>
                <w:rFonts w:ascii="Arial" w:eastAsia="Apple LiSung Light" w:hAnsi="Arial" w:cs="Arial"/>
                <w:iCs/>
                <w:lang w:eastAsia="zh-TW"/>
              </w:rPr>
              <w:t xml:space="preserve"> after playing it many times, the students will naturally learn to count from one to one hundred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>.</w:t>
            </w:r>
            <w:r>
              <w:rPr>
                <w:rFonts w:ascii="Arial" w:eastAsia="Apple LiSung Light" w:hAnsi="Arial" w:cs="Arial" w:hint="eastAsia"/>
                <w:iCs/>
                <w:lang w:eastAsia="zh-TW"/>
              </w:rPr>
              <w:t xml:space="preserve"> </w:t>
            </w:r>
            <w:r w:rsidRPr="00C37E11">
              <w:rPr>
                <w:rFonts w:ascii="Arial" w:eastAsia="Apple LiSung Light" w:hAnsi="Arial" w:cs="Arial"/>
                <w:iCs/>
                <w:lang w:eastAsia="zh-TW"/>
              </w:rPr>
              <w:t>I was really amazed by the students' learning responsiveness</w:t>
            </w:r>
            <w:r>
              <w:rPr>
                <w:rFonts w:ascii="Arial" w:eastAsia="Apple LiSung Light" w:hAnsi="Arial" w:cs="Arial"/>
                <w:iCs/>
                <w:lang w:eastAsia="zh-TW"/>
              </w:rPr>
              <w:t>.</w:t>
            </w:r>
          </w:p>
          <w:p w14:paraId="60C72514" w14:textId="77777777" w:rsidR="00834854" w:rsidRPr="003D7442" w:rsidRDefault="00834854" w:rsidP="005A0C39">
            <w:pPr>
              <w:rPr>
                <w:rFonts w:ascii="Arial" w:eastAsia="Apple LiSung Light" w:hAnsi="Arial" w:cs="Arial"/>
                <w:iCs/>
                <w:lang w:eastAsia="zh-TW"/>
              </w:rPr>
            </w:pP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000000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0000000000000000000"/>
    <w:charset w:val="88"/>
    <w:family w:val="auto"/>
    <w:pitch w:val="variable"/>
    <w:sig w:usb0="810000E3" w:usb1="38C97878" w:usb2="08040017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912"/>
    <w:multiLevelType w:val="hybridMultilevel"/>
    <w:tmpl w:val="7C00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E6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66C47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4F4A3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CB5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4A22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18C8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EDA08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B3EAC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C1A7731"/>
    <w:multiLevelType w:val="hybridMultilevel"/>
    <w:tmpl w:val="4DECB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796F"/>
    <w:multiLevelType w:val="hybridMultilevel"/>
    <w:tmpl w:val="F224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08DC"/>
    <w:multiLevelType w:val="hybridMultilevel"/>
    <w:tmpl w:val="2AA667F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0379"/>
    <w:multiLevelType w:val="multilevel"/>
    <w:tmpl w:val="BC0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716C7"/>
    <w:multiLevelType w:val="multilevel"/>
    <w:tmpl w:val="E50C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8315F"/>
    <w:multiLevelType w:val="hybridMultilevel"/>
    <w:tmpl w:val="B0C4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C4C4C"/>
    <w:multiLevelType w:val="hybridMultilevel"/>
    <w:tmpl w:val="89D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F6DDC"/>
    <w:multiLevelType w:val="hybridMultilevel"/>
    <w:tmpl w:val="A9722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70717A"/>
    <w:multiLevelType w:val="hybridMultilevel"/>
    <w:tmpl w:val="5DE48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8349507">
    <w:abstractNumId w:val="6"/>
  </w:num>
  <w:num w:numId="2" w16cid:durableId="1656765910">
    <w:abstractNumId w:val="7"/>
  </w:num>
  <w:num w:numId="3" w16cid:durableId="452789707">
    <w:abstractNumId w:val="3"/>
  </w:num>
  <w:num w:numId="4" w16cid:durableId="1985428522">
    <w:abstractNumId w:val="0"/>
  </w:num>
  <w:num w:numId="5" w16cid:durableId="115637911">
    <w:abstractNumId w:val="2"/>
  </w:num>
  <w:num w:numId="6" w16cid:durableId="1447850774">
    <w:abstractNumId w:val="1"/>
  </w:num>
  <w:num w:numId="7" w16cid:durableId="2108189902">
    <w:abstractNumId w:val="9"/>
  </w:num>
  <w:num w:numId="8" w16cid:durableId="1450510074">
    <w:abstractNumId w:val="5"/>
  </w:num>
  <w:num w:numId="9" w16cid:durableId="210002765">
    <w:abstractNumId w:val="4"/>
  </w:num>
  <w:num w:numId="10" w16cid:durableId="1501652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54"/>
    <w:rsid w:val="00021843"/>
    <w:rsid w:val="00095A8F"/>
    <w:rsid w:val="000C604A"/>
    <w:rsid w:val="000D1E2C"/>
    <w:rsid w:val="00113C77"/>
    <w:rsid w:val="001572C0"/>
    <w:rsid w:val="00256436"/>
    <w:rsid w:val="002F5274"/>
    <w:rsid w:val="00340B9C"/>
    <w:rsid w:val="00352C33"/>
    <w:rsid w:val="00376DAA"/>
    <w:rsid w:val="003B2BA8"/>
    <w:rsid w:val="003C126A"/>
    <w:rsid w:val="003D7442"/>
    <w:rsid w:val="003E23FC"/>
    <w:rsid w:val="00406734"/>
    <w:rsid w:val="00452C5B"/>
    <w:rsid w:val="00457C3D"/>
    <w:rsid w:val="004728A1"/>
    <w:rsid w:val="004B13F3"/>
    <w:rsid w:val="0051474E"/>
    <w:rsid w:val="00625494"/>
    <w:rsid w:val="00660EFB"/>
    <w:rsid w:val="006826F5"/>
    <w:rsid w:val="0068402C"/>
    <w:rsid w:val="006A7F15"/>
    <w:rsid w:val="00834854"/>
    <w:rsid w:val="008A4205"/>
    <w:rsid w:val="008E6A95"/>
    <w:rsid w:val="008F09DD"/>
    <w:rsid w:val="0092369D"/>
    <w:rsid w:val="009812CA"/>
    <w:rsid w:val="00A5688A"/>
    <w:rsid w:val="00A62325"/>
    <w:rsid w:val="00AE35B5"/>
    <w:rsid w:val="00BA292C"/>
    <w:rsid w:val="00C37E11"/>
    <w:rsid w:val="00C63943"/>
    <w:rsid w:val="00D01F08"/>
    <w:rsid w:val="00D259F9"/>
    <w:rsid w:val="00EB799A"/>
    <w:rsid w:val="00F8370A"/>
    <w:rsid w:val="00FA568F"/>
    <w:rsid w:val="00FB0AEC"/>
    <w:rsid w:val="00FD2289"/>
    <w:rsid w:val="00FD7665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8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DA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F09D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E6A95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6">
    <w:name w:val="FollowedHyperlink"/>
    <w:basedOn w:val="a0"/>
    <w:uiPriority w:val="99"/>
    <w:semiHidden/>
    <w:unhideWhenUsed/>
    <w:rsid w:val="008E6A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RNFE4690fk&amp;t=4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1RNFE4690fk&amp;t=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Microsoft Office User</cp:lastModifiedBy>
  <cp:revision>4</cp:revision>
  <dcterms:created xsi:type="dcterms:W3CDTF">2022-11-29T00:02:00Z</dcterms:created>
  <dcterms:modified xsi:type="dcterms:W3CDTF">2022-11-29T01:01:00Z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</Properties>
</file>