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Calibri" w:hAnsi="Calibri" w:eastAsia="Calibri" w:cs="Calibri"/>
          <w:sz w:val="24"/>
          <w:szCs w:val="24"/>
        </w:rPr>
      </w:pPr>
    </w:p>
    <w:tbl>
      <w:tblPr>
        <w:tblStyle w:val="16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Part 1: Planning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Teacher: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Li Ning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Subject: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 xml:space="preserve">Chinese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II</w:t>
            </w:r>
          </w:p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Topic 1: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My house 我的房子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Context/Theme/Big Idea:</w:t>
            </w:r>
          </w:p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What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s special about Chinese houses?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What’s special in my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house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What are the similarities and differences between Chinese and American houses?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How can I make myself clear when I give directions in Chinese?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Objectives: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understand a conversation about the conditions of a room or house.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describe the layout of a house.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understand where a certain place is located.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comprehend room names in a house.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comprehend furniture in a house.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write furniture items and other room objects in addition to explaining where they are located.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write about the conditions of a room.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identify and write the following characters: 房、客厅、饭、厨房、卧室、间、厕所、床、桌、椅、旁边、对面、楼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State Standards (GSE / GLE):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National Standards (ACTFL):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7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64"/>
        <w:gridCol w:w="2858"/>
        <w:gridCol w:w="3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Part 2: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Bell Ringer: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Students display the Chinese buildings they searched for, and introduce pictures of the buildings they found.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Anticipatory Set: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 xml:space="preserve"> The students reviewed the vocabulary they learned in the last lesson.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0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Time</w:t>
            </w:r>
          </w:p>
        </w:tc>
        <w:tc>
          <w:tcPr>
            <w:tcW w:w="3364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Teacher Action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Student Action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10-20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Characters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practice, practice with Canvas.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Radical practice. Select the Chinese character with the given radical.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人 （好、今、风、难）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女（生、活、姐、贵）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月（朋、后、国、岁）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山（今、洗、峰、回）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刀（分、收、块、勒）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Write the number of strokes for the given Chinese characters.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好（ ）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手（ ）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家（ ）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床（ ）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汗（  ）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Students identify which Chinese character contains the given radical.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Students can accurately judge the number of strokes of this Chinese character.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The corresponding quiz will be made. Used to evaluate students' mastery.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20-35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Learn new vocabulary and use it to make sentences.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lang w:val="en-US" w:eastAsia="zh-CN"/>
              </w:rPr>
              <w:t>房、客厅、饭、厨房、卧室、间、厕所、床、桌、椅、旁边、对面、楼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Use PPT to display vocabulary cards. Lead students to practice sentences in vocabulary.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are encouraged to introduce the characteristics of their own houses.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36-50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Draw your ideal house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spacing w:after="0"/>
              <w:rPr>
                <w:rFonts w:hint="eastAsia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spacing w:after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Each student draws a simple picture of his ideal house. And with corresponding sentences and explanations. Eventually I can introduce my paintings in Chinese.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The teacher makes modifications to the student's sentence, trying to make the student's sentence conform to the grammatical rules. Wrong sentences are tolerated.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Review and Reflection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The student's drawings are placed in a 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paper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box. Then the students took turns to draw a picture from the cardboard box. Introduce the characteristics of the house in this painting in Chinese. The owner of the house recognizes his house and calls out: "This is my house!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这是我的房子！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"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Closing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Talk about which 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house picture very students like the most, and tell why in Chinese.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p/>
    <w:p>
      <w:bookmarkStart w:id="1" w:name="_GoBack"/>
      <w:bookmarkEnd w:id="1"/>
    </w:p>
    <w:sectPr>
      <w:pgSz w:w="12240" w:h="15840"/>
      <w:pgMar w:top="1133" w:right="1133" w:bottom="1133" w:left="1133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F40BD"/>
    <w:multiLevelType w:val="singleLevel"/>
    <w:tmpl w:val="955F40B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9E54088"/>
    <w:rsid w:val="13950F05"/>
    <w:rsid w:val="183615B6"/>
    <w:rsid w:val="1B8C5FE8"/>
    <w:rsid w:val="22C45ABF"/>
    <w:rsid w:val="246A341C"/>
    <w:rsid w:val="29A07191"/>
    <w:rsid w:val="2BC96A99"/>
    <w:rsid w:val="366C742D"/>
    <w:rsid w:val="7AAF5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FollowedHyperlink"/>
    <w:basedOn w:val="12"/>
    <w:uiPriority w:val="0"/>
    <w:rPr>
      <w:color w:val="800080"/>
      <w:u w:val="singl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customStyle="1" w:styleId="15">
    <w:name w:val="Table Normal"/>
    <w:qFormat/>
    <w:uiPriority w:val="0"/>
  </w:style>
  <w:style w:type="table" w:customStyle="1" w:styleId="16">
    <w:name w:val="_Style 10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1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2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Office_11.1.0.8370_F1E327BC-269C-435d-A152-05C5408002CA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2019-12-19T06:07:00Z</dcterms:created>
  <dc:creator>linin</dc:creator>
  <cp:lastModifiedBy>李小白</cp:lastModifiedBy>
  <dcterms:modified xsi:type="dcterms:W3CDTF">2020-04-21T10:57:54Z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